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19" w:rsidRDefault="00F004C6">
      <w:r>
        <w:t>VPRAŠANJE PONUDNIKA ŠT. 1:</w:t>
      </w:r>
    </w:p>
    <w:p w:rsidR="00F004C6" w:rsidRDefault="00F004C6">
      <w:r>
        <w:t xml:space="preserve">Spoštovani, </w:t>
      </w:r>
      <w:r>
        <w:br/>
        <w:t xml:space="preserve">Med pogoji za dokazovanje usposobljenosti je v Navodilih ponudnikom sledeča zahteva, glede bonitete: </w:t>
      </w:r>
      <w:r>
        <w:br/>
        <w:t xml:space="preserve">Ponudnik/podizvajalec mora imeti bonitetno oceno najmanj SB5. </w:t>
      </w:r>
      <w:r>
        <w:br/>
      </w:r>
      <w:r>
        <w:br/>
        <w:t xml:space="preserve">Vprašanje: </w:t>
      </w:r>
      <w:r>
        <w:br/>
        <w:t xml:space="preserve">AJPES uporablja za izdelavo bonitetne ocene za novoustanovljene subjekte drugačno metodologijo, kot za ostale subjekte. Novoustanovljeni subjekti so v prvih treh letih delovanja avtomatično razvrščeni v skupino novoustanovljenih subjektov, ki jim AJPES po matematičnih modelih generalno predpisuje večjo </w:t>
      </w:r>
      <w:proofErr w:type="spellStart"/>
      <w:r>
        <w:t>rizičnost</w:t>
      </w:r>
      <w:proofErr w:type="spellEnd"/>
      <w:r>
        <w:t xml:space="preserve"> glede nastopa dogodka neplačila. Zaradi tega so bonitetne ocene takih subjektov, kljub uspešnemu poslovanju v prvih treh letih v povprečju nižje kot pri subjektih, ki delujejo več kot tri leta. Tudi sami smo takšno podjetje, ki uspešno poslujemo in imamo ustrezne bilance, a nam je zaradi splošnih tveganj na ravni vseh novoustanovljenih podjetij pripisana ocena SB6. </w:t>
      </w:r>
      <w:r>
        <w:br/>
        <w:t xml:space="preserve">Zato vas sprašujemo, ali boste to dejstvo, na katerega ne moremo vplivati, saj ima AJPES svojo metodologijo za novoustanovljena podjetja, upoštevali in po načelu </w:t>
      </w:r>
      <w:proofErr w:type="spellStart"/>
      <w:r>
        <w:t>enakoprave</w:t>
      </w:r>
      <w:proofErr w:type="spellEnd"/>
      <w:r>
        <w:t xml:space="preserve"> obravnave ponudnikov dopustili kot popolno tudi prijavo oz. ponudbo z bonitetno oceno SB6, ki je še vedno nadpovprečna ocena glede na podjetja v Republiki Sloveniji? </w:t>
      </w:r>
      <w:r>
        <w:br/>
        <w:t xml:space="preserve">Povprečje je SB7. </w:t>
      </w:r>
      <w:proofErr w:type="spellStart"/>
      <w:r>
        <w:t>Nenazadnje</w:t>
      </w:r>
      <w:proofErr w:type="spellEnd"/>
      <w:r>
        <w:t xml:space="preserve"> predlagamo, da zahtevo znižate na SB6 tudi zato, ker bonitetna ocena ne pokaže dejanske kvalitete in usposobljenosti izvajalca, temveč se "igra" le z verjetnostjo dogodka neplačila - stečaja. Če bi torej ostala bonitetna zahteva do SB5, bi bili sami v neenakopravnem položaju, saj kljub temu, da je tveganje neplačila pri SB6 pri nas podpovprečno (poleg tega pa imamo nižjo oceno, ker smo mlajši od treh let), ne bi smeli sodelovati na razpisu. Menimo, da se naročnik pred možnostjo stečaja zavaruje z drugimi določbami razpisa (ni predplačil, neposredna plačila podizvajalcem, bančne garancije, zadržana sredstva, odstop od pogodbe ipd.) in ne preko bonitetne ocene, saj je ta lahko le špekulacija, ali bo šel prej v stečaj tisti z SB5 ali SB6, ali kateri drugi s celo višjo boniteto. To pa ni v skladu z namenom pogojev po ZJN-2. Tudi po praksi </w:t>
      </w:r>
      <w:proofErr w:type="spellStart"/>
      <w:r>
        <w:t>DKom</w:t>
      </w:r>
      <w:proofErr w:type="spellEnd"/>
      <w:r>
        <w:t xml:space="preserve"> se zato lahko z bonitetnimi ocenami zahteva le neka povprečna raven ponudnika, ki pa je pri SB6 še vedno nadpovprečna."</w:t>
      </w:r>
    </w:p>
    <w:p w:rsidR="00F004C6" w:rsidRDefault="00F004C6"/>
    <w:p w:rsidR="00F004C6" w:rsidRDefault="00F004C6">
      <w:r>
        <w:t xml:space="preserve">ODGOVOR: </w:t>
      </w:r>
    </w:p>
    <w:p w:rsidR="00F004C6" w:rsidRDefault="005B2932">
      <w:r>
        <w:t>Spoštovani,</w:t>
      </w:r>
    </w:p>
    <w:p w:rsidR="005B2932" w:rsidRDefault="005B2932">
      <w:r>
        <w:t>z</w:t>
      </w:r>
      <w:bookmarkStart w:id="0" w:name="_GoBack"/>
      <w:bookmarkEnd w:id="0"/>
      <w:r>
        <w:t>ahteve glede bonitete ne bomo spreminjali.</w:t>
      </w:r>
    </w:p>
    <w:sectPr w:rsidR="005B2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C6"/>
    <w:rsid w:val="005B2932"/>
    <w:rsid w:val="00AF2419"/>
    <w:rsid w:val="00F004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dcterms:created xsi:type="dcterms:W3CDTF">2016-10-03T08:42:00Z</dcterms:created>
  <dcterms:modified xsi:type="dcterms:W3CDTF">2016-10-04T12:42:00Z</dcterms:modified>
</cp:coreProperties>
</file>